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8852" w14:textId="77777777" w:rsidR="00216953" w:rsidRPr="00EC04C8" w:rsidRDefault="00216953" w:rsidP="00216953">
      <w:pPr>
        <w:tabs>
          <w:tab w:val="left" w:pos="50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>T.C.</w:t>
      </w:r>
    </w:p>
    <w:p w14:paraId="764A9058" w14:textId="77777777" w:rsidR="00216953" w:rsidRPr="00EC04C8" w:rsidRDefault="00216953" w:rsidP="00216953">
      <w:pPr>
        <w:spacing w:after="0" w:line="240" w:lineRule="auto"/>
        <w:ind w:left="2124" w:right="-2" w:firstLine="156"/>
        <w:outlineLvl w:val="0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 xml:space="preserve">             SAKARYA VALİLİĞİ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ab/>
        <w:t xml:space="preserve">                                                                                                     İL MERA KOMİSYONU BAŞKANLIĞINDAN</w:t>
      </w:r>
    </w:p>
    <w:p w14:paraId="25908904" w14:textId="77777777" w:rsidR="00216953" w:rsidRPr="00EC04C8" w:rsidRDefault="00216953" w:rsidP="00216953">
      <w:pPr>
        <w:tabs>
          <w:tab w:val="left" w:pos="9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color w:val="000000" w:themeColor="text1"/>
          <w:lang w:eastAsia="tr-TR"/>
        </w:rPr>
      </w:pPr>
    </w:p>
    <w:p w14:paraId="34E51A79" w14:textId="77777777" w:rsidR="00216953" w:rsidRPr="00EC04C8" w:rsidRDefault="00216953" w:rsidP="002169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>D U Y U R U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 xml:space="preserve"> 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>L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 xml:space="preserve"> 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>U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 xml:space="preserve"> 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>R</w:t>
      </w:r>
    </w:p>
    <w:p w14:paraId="54355A64" w14:textId="77777777" w:rsidR="00216953" w:rsidRPr="00EC04C8" w:rsidRDefault="00216953" w:rsidP="00216953">
      <w:pPr>
        <w:spacing w:after="0" w:line="240" w:lineRule="auto"/>
        <w:ind w:left="567" w:right="-2" w:hanging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tr-TR"/>
        </w:rPr>
      </w:pPr>
    </w:p>
    <w:p w14:paraId="1DD97E47" w14:textId="77777777" w:rsidR="00216953" w:rsidRPr="00EC04C8" w:rsidRDefault="00216953" w:rsidP="00216953">
      <w:pPr>
        <w:tabs>
          <w:tab w:val="left" w:pos="17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lang w:eastAsia="tr-TR"/>
        </w:rPr>
        <w:t xml:space="preserve">   </w:t>
      </w:r>
    </w:p>
    <w:p w14:paraId="3BCE3C5D" w14:textId="77777777" w:rsidR="00216953" w:rsidRPr="00EC04C8" w:rsidRDefault="00216953" w:rsidP="00216953">
      <w:pPr>
        <w:tabs>
          <w:tab w:val="left" w:pos="17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lang w:eastAsia="tr-TR"/>
        </w:rPr>
        <w:t xml:space="preserve"> </w:t>
      </w:r>
    </w:p>
    <w:p w14:paraId="71EE9C11" w14:textId="77777777" w:rsidR="00216953" w:rsidRPr="00EC04C8" w:rsidRDefault="00216953" w:rsidP="00216953">
      <w:pPr>
        <w:tabs>
          <w:tab w:val="left" w:pos="17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 xml:space="preserve">           Mera,Yaylak ve Kışlaklara;</w:t>
      </w:r>
    </w:p>
    <w:p w14:paraId="69E621AC" w14:textId="77777777" w:rsidR="00216953" w:rsidRPr="00EC04C8" w:rsidRDefault="00216953" w:rsidP="00216953">
      <w:pPr>
        <w:tabs>
          <w:tab w:val="left" w:pos="17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lang w:eastAsia="tr-TR"/>
        </w:rPr>
      </w:pPr>
    </w:p>
    <w:p w14:paraId="3CA6BA19" w14:textId="77777777" w:rsidR="00216953" w:rsidRPr="00EC04C8" w:rsidRDefault="00216953" w:rsidP="0021695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right="-2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tr-TR"/>
        </w:rPr>
        <w:t>Ova Köylerin Meralarında: 15  Nisan – 15 Kasım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 xml:space="preserve"> tarihleri</w:t>
      </w: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dışında ve 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 xml:space="preserve">yağışlı havalarda </w:t>
      </w: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hayvan sokulmaması, </w:t>
      </w:r>
    </w:p>
    <w:p w14:paraId="633E1929" w14:textId="77777777" w:rsidR="00216953" w:rsidRPr="00EC04C8" w:rsidRDefault="00216953" w:rsidP="00216953">
      <w:pPr>
        <w:spacing w:after="120"/>
        <w:ind w:right="-2"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     Ancak, mevsim ve coğrafik şartlar sebebiyle Komisyonun bilgisi dahilinde bu tarihler değiştirilebilir.</w:t>
      </w:r>
    </w:p>
    <w:p w14:paraId="6058300E" w14:textId="77777777" w:rsidR="00216953" w:rsidRPr="00EC04C8" w:rsidRDefault="00216953" w:rsidP="00216953">
      <w:pPr>
        <w:spacing w:after="120"/>
        <w:ind w:right="-2"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</w:p>
    <w:p w14:paraId="32387416" w14:textId="77777777" w:rsidR="00216953" w:rsidRPr="00EC04C8" w:rsidRDefault="00216953" w:rsidP="0021695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right="-2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tr-TR"/>
        </w:rPr>
        <w:t>Yayla Köylerin Meralarında:15 Mayıs – 15 Ekim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 xml:space="preserve"> tarihleri</w:t>
      </w: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dışında ve 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 xml:space="preserve">yağışlı havalarda </w:t>
      </w: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hayvan sokulmaması, </w:t>
      </w:r>
    </w:p>
    <w:p w14:paraId="3ACA3228" w14:textId="77777777" w:rsidR="00216953" w:rsidRPr="00EC04C8" w:rsidRDefault="00216953" w:rsidP="00216953">
      <w:pPr>
        <w:spacing w:after="120"/>
        <w:ind w:right="-2"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</w:p>
    <w:p w14:paraId="79F2EAEA" w14:textId="77777777" w:rsidR="00216953" w:rsidRPr="00EC04C8" w:rsidRDefault="00216953" w:rsidP="00216953">
      <w:pPr>
        <w:spacing w:after="120"/>
        <w:ind w:right="-2"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>(Taraklı,Akyazı,Hendek,Geyve,Pamukova İlçelerindeki Yaylalarda (meralarda) başlangıç tarihi mayıs ayı sonuna sarkabilir–bitiş tarihi ekim ayı başı olabilir.) Bu tarihler arasında; Mera Komisyonunca, sadece tespit edilecek aylarda meralarda otlatma yapılabilir.</w:t>
      </w:r>
    </w:p>
    <w:p w14:paraId="772B10A9" w14:textId="77777777" w:rsidR="00216953" w:rsidRPr="00EC04C8" w:rsidRDefault="00216953" w:rsidP="00216953">
      <w:pPr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</w:p>
    <w:p w14:paraId="4A2B14C3" w14:textId="77777777" w:rsidR="00216953" w:rsidRPr="00EC04C8" w:rsidRDefault="00216953" w:rsidP="0021695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right="-2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tr-TR"/>
        </w:rPr>
        <w:t>Aşırı otlatma</w:t>
      </w: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yapılmaması ve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 xml:space="preserve"> 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tr-TR"/>
        </w:rPr>
        <w:t>fazla sayıda</w:t>
      </w: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hayvan sokulmaması,</w:t>
      </w:r>
    </w:p>
    <w:p w14:paraId="71C84FEF" w14:textId="77777777" w:rsidR="00216953" w:rsidRPr="00EC04C8" w:rsidRDefault="00216953" w:rsidP="00216953">
      <w:pPr>
        <w:spacing w:after="0" w:line="240" w:lineRule="auto"/>
        <w:ind w:left="540" w:right="-2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</w:p>
    <w:p w14:paraId="2CAF6E86" w14:textId="77777777" w:rsidR="00216953" w:rsidRPr="00EC04C8" w:rsidRDefault="00216953" w:rsidP="00216953">
      <w:pPr>
        <w:spacing w:after="0" w:line="240" w:lineRule="auto"/>
        <w:ind w:left="540" w:right="-2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</w:p>
    <w:p w14:paraId="612FD754" w14:textId="77777777" w:rsidR="00216953" w:rsidRPr="00EC04C8" w:rsidRDefault="00216953" w:rsidP="0021695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right="-2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tr-TR"/>
        </w:rPr>
        <w:t>Kulak küpesi</w:t>
      </w: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olmayan, 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tr-TR"/>
        </w:rPr>
        <w:t>hastalıklı ve şap aşısı yapılmayan hayvan</w:t>
      </w: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sokulmaması,</w:t>
      </w:r>
    </w:p>
    <w:p w14:paraId="0364AAC1" w14:textId="77777777" w:rsidR="00216953" w:rsidRPr="00EC04C8" w:rsidRDefault="00216953" w:rsidP="00216953">
      <w:pPr>
        <w:spacing w:after="0" w:line="240" w:lineRule="auto"/>
        <w:ind w:left="540" w:right="-2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</w:p>
    <w:p w14:paraId="47F75D8B" w14:textId="77777777" w:rsidR="00216953" w:rsidRPr="00EC04C8" w:rsidRDefault="00216953" w:rsidP="0021695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right="-2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Suni tohumlamada başarıya ulaşabilmek için 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tr-TR"/>
        </w:rPr>
        <w:t>erkek hayvan</w:t>
      </w: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sokulmaması,</w:t>
      </w:r>
    </w:p>
    <w:p w14:paraId="77CC7682" w14:textId="77777777" w:rsidR="00216953" w:rsidRPr="00EC04C8" w:rsidRDefault="00216953" w:rsidP="00216953">
      <w:pPr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</w:p>
    <w:p w14:paraId="79EB5155" w14:textId="77777777" w:rsidR="00216953" w:rsidRPr="00EC04C8" w:rsidRDefault="00216953" w:rsidP="00216953">
      <w:pPr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</w:p>
    <w:p w14:paraId="539C30AD" w14:textId="77777777" w:rsidR="00216953" w:rsidRPr="00EC04C8" w:rsidRDefault="00216953" w:rsidP="00216953">
      <w:pPr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Bu kurallara uymayanlar hakkında </w:t>
      </w: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>4342 sayılı Mera Kanunu ilgili diğer Kanunlar</w:t>
      </w:r>
      <w:r w:rsidRPr="00EC04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  <w:t xml:space="preserve"> uyarınca işlem yapılacağının bilinmesi hususları;</w:t>
      </w:r>
    </w:p>
    <w:p w14:paraId="2A042DFF" w14:textId="77777777" w:rsidR="00216953" w:rsidRPr="00EC04C8" w:rsidRDefault="00216953" w:rsidP="002169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 xml:space="preserve">     </w:t>
      </w:r>
    </w:p>
    <w:p w14:paraId="7D655E9C" w14:textId="77777777" w:rsidR="00216953" w:rsidRPr="00EC04C8" w:rsidRDefault="00216953" w:rsidP="002169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tr-TR"/>
        </w:rPr>
      </w:pPr>
      <w:r w:rsidRPr="00EC04C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 xml:space="preserve">         Çiftçilerimize önemle duyurulur.</w:t>
      </w:r>
    </w:p>
    <w:p w14:paraId="34EB71BF" w14:textId="77777777" w:rsidR="00216953" w:rsidRPr="00EC04C8" w:rsidRDefault="00216953" w:rsidP="0021695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77597" w14:textId="77777777" w:rsidR="00216953" w:rsidRPr="00EC04C8" w:rsidRDefault="00216953" w:rsidP="0021695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70D74" w14:textId="77777777" w:rsidR="00216953" w:rsidRPr="00EC04C8" w:rsidRDefault="00216953" w:rsidP="0021695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BEEAF" w14:textId="77777777" w:rsidR="00216953" w:rsidRDefault="00216953" w:rsidP="0021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09DB9" w14:textId="77777777" w:rsidR="00216953" w:rsidRDefault="00216953" w:rsidP="00216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AF7622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 w:themeColor="text1"/>
          <w:sz w:val="24"/>
          <w:szCs w:val="24"/>
        </w:rPr>
      </w:pPr>
      <w:r w:rsidRPr="00EC04C8"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 w:themeColor="text1"/>
          <w:sz w:val="24"/>
          <w:szCs w:val="24"/>
        </w:rPr>
        <w:lastRenderedPageBreak/>
        <w:t>Genelge</w:t>
      </w:r>
    </w:p>
    <w:p w14:paraId="7A53CB78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</w:pPr>
      <w:r w:rsidRPr="00EC04C8"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  <w:t>MERA, YAYLAK VE KIŞLAKLARDA OTLATMA YÖNETİMİ UYGULAMA</w:t>
      </w:r>
    </w:p>
    <w:p w14:paraId="7BB1A19E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</w:pPr>
      <w:r w:rsidRPr="00EC04C8"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  <w:t>ESASLARI</w:t>
      </w:r>
    </w:p>
    <w:p w14:paraId="6892214F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</w:pPr>
      <w:r w:rsidRPr="00EC04C8"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  <w:t>(Genelge No : 2007/1)</w:t>
      </w:r>
    </w:p>
    <w:p w14:paraId="4914B7BA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  <w:u w:val="single"/>
        </w:rPr>
      </w:pPr>
    </w:p>
    <w:p w14:paraId="3AD94738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  <w:u w:val="single"/>
        </w:rPr>
      </w:pPr>
      <w:r w:rsidRPr="00EC04C8"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  <w:u w:val="single"/>
        </w:rPr>
        <w:t>CEZAİ HÜKÜMLER</w:t>
      </w:r>
    </w:p>
    <w:p w14:paraId="3C8DF15B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</w:pPr>
    </w:p>
    <w:p w14:paraId="2C710AE0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</w:pPr>
    </w:p>
    <w:p w14:paraId="07BAEC8D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</w:pPr>
      <w:r w:rsidRPr="00EC04C8"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  <w:t>MADDE 11 –</w:t>
      </w:r>
    </w:p>
    <w:p w14:paraId="2911810A" w14:textId="77777777" w:rsidR="00216953" w:rsidRPr="00EC04C8" w:rsidRDefault="00216953" w:rsidP="001D70B0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</w:pPr>
    </w:p>
    <w:p w14:paraId="1F902FBB" w14:textId="4AFFCC65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 w:themeColor="text1"/>
        </w:rPr>
      </w:pPr>
      <w:r w:rsidRPr="00EC04C8">
        <w:rPr>
          <w:rFonts w:ascii="TimesNewRomanPS-BoldMT" w:eastAsia="Calibri" w:hAnsi="TimesNewRomanPS-BoldMT" w:cs="TimesNewRomanPS-BoldMT"/>
          <w:b/>
          <w:bCs/>
          <w:color w:val="000000" w:themeColor="text1"/>
        </w:rPr>
        <w:t xml:space="preserve"> </w:t>
      </w:r>
      <w:r w:rsidRPr="00EC04C8">
        <w:rPr>
          <w:rFonts w:ascii="TimesNewRomanPSMT" w:eastAsia="Calibri" w:hAnsi="TimesNewRomanPSMT" w:cs="TimesNewRomanPSMT"/>
          <w:b/>
          <w:color w:val="000000" w:themeColor="text1"/>
        </w:rPr>
        <w:t>(1)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4342 sayılı Mera Kanunu’nun 19 uncu, 26</w:t>
      </w:r>
      <w:r w:rsidR="001D70B0">
        <w:rPr>
          <w:rFonts w:ascii="TimesNewRomanPSMT" w:eastAsia="Calibri" w:hAnsi="TimesNewRomanPSMT" w:cs="TimesNewRomanPSMT"/>
          <w:color w:val="000000" w:themeColor="text1"/>
        </w:rPr>
        <w:t>’</w:t>
      </w:r>
      <w:r w:rsidRPr="00EC04C8">
        <w:rPr>
          <w:rFonts w:ascii="TimesNewRomanPSMT" w:eastAsia="Calibri" w:hAnsi="TimesNewRomanPSMT" w:cs="TimesNewRomanPSMT"/>
          <w:color w:val="000000" w:themeColor="text1"/>
        </w:rPr>
        <w:t>ncı ve 27</w:t>
      </w:r>
      <w:r w:rsidR="001D70B0">
        <w:rPr>
          <w:rFonts w:ascii="TimesNewRomanPSMT" w:eastAsia="Calibri" w:hAnsi="TimesNewRomanPSMT" w:cs="TimesNewRomanPSMT"/>
          <w:color w:val="000000" w:themeColor="text1"/>
        </w:rPr>
        <w:t>’</w:t>
      </w:r>
      <w:r w:rsidRPr="00EC04C8">
        <w:rPr>
          <w:rFonts w:ascii="TimesNewRomanPSMT" w:eastAsia="Calibri" w:hAnsi="TimesNewRomanPSMT" w:cs="TimesNewRomanPSMT"/>
          <w:color w:val="000000" w:themeColor="text1"/>
        </w:rPr>
        <w:t>nci maddelerine göre; Komisyonlarca otlatma planı uygulanan mera, yaylak ve kışlaklarda otlatma hakkının üstünde hayvan otlatılamaz, otlatma haklarından fazla hayvan otlatanlardan bu ücret, fazla her hayvan sayısı için üç katı olarak tahsil edilir.</w:t>
      </w:r>
    </w:p>
    <w:p w14:paraId="7983DD44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b/>
          <w:color w:val="000000" w:themeColor="text1"/>
        </w:rPr>
      </w:pPr>
    </w:p>
    <w:p w14:paraId="52CC6CB8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 w:themeColor="text1"/>
        </w:rPr>
      </w:pPr>
      <w:r w:rsidRPr="00EC04C8">
        <w:rPr>
          <w:rFonts w:ascii="TimesNewRomanPSMT" w:eastAsia="Calibri" w:hAnsi="TimesNewRomanPSMT" w:cs="TimesNewRomanPSMT"/>
          <w:b/>
          <w:color w:val="000000" w:themeColor="text1"/>
        </w:rPr>
        <w:t>(2)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Otlatma planlarının uygulandığı mera, yaylak ve kışlaklarda kararlara uymayan veya yükümlülüklerini yerine getirmeyenlerin yararlanma hakları Bakanlık İl ve İlçe Müdürlüğünün teklifi ve Valilik onayı ile en az 7 gün, en çok 30 gün süre ile geçici olarak, aynı fiilin tekrarı halinde ise yararlanma hakkı bir otlatma dönemi için iptal edilir.</w:t>
      </w:r>
    </w:p>
    <w:p w14:paraId="0773A1CB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b/>
          <w:color w:val="000000" w:themeColor="text1"/>
        </w:rPr>
      </w:pPr>
    </w:p>
    <w:p w14:paraId="7A129F24" w14:textId="3F282200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eastAsia="Calibri" w:hAnsi="TimesNewRomanPS-BoldMT" w:cs="TimesNewRomanPS-BoldMT"/>
          <w:b/>
          <w:bCs/>
          <w:color w:val="000000" w:themeColor="text1"/>
        </w:rPr>
      </w:pPr>
      <w:r w:rsidRPr="00EC04C8">
        <w:rPr>
          <w:rFonts w:ascii="TimesNewRomanPSMT" w:eastAsia="Calibri" w:hAnsi="TimesNewRomanPSMT" w:cs="TimesNewRomanPSMT"/>
          <w:b/>
          <w:color w:val="000000" w:themeColor="text1"/>
        </w:rPr>
        <w:t>(3)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Muhtarlık veya belediyeler tarafından bu amaçla yapılacak tahsilat, o yerin mera alanlarının ıslah ve geliştirilmesi amacı ile köy sandığına veya belediye bütçesinde ayrı bir hesaba gelir kaydedilir ve amacı dışında kullanılamaz</w:t>
      </w:r>
      <w:r w:rsidRPr="00EC04C8">
        <w:rPr>
          <w:rFonts w:ascii="TimesNewRomanPS-BoldMT" w:eastAsia="Calibri" w:hAnsi="TimesNewRomanPS-BoldMT" w:cs="TimesNewRomanPS-BoldMT"/>
          <w:b/>
          <w:bCs/>
          <w:color w:val="000000" w:themeColor="text1"/>
        </w:rPr>
        <w:t>.</w:t>
      </w:r>
    </w:p>
    <w:p w14:paraId="37702356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b/>
          <w:color w:val="000000" w:themeColor="text1"/>
        </w:rPr>
      </w:pPr>
    </w:p>
    <w:p w14:paraId="64086C70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 w:themeColor="text1"/>
        </w:rPr>
      </w:pPr>
      <w:r w:rsidRPr="00EC04C8">
        <w:rPr>
          <w:rFonts w:ascii="TimesNewRomanPSMT" w:eastAsia="Calibri" w:hAnsi="TimesNewRomanPSMT" w:cs="TimesNewRomanPSMT"/>
          <w:b/>
          <w:color w:val="000000" w:themeColor="text1"/>
        </w:rPr>
        <w:t>(4)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Komisyonca tespit edilen ücret ve para cezalarının takip ve tahsilinde 6183 sayılı Amme Alacaklarının Tahsil Usulü Hakkında Kanun hükümleri uygulanır</w:t>
      </w:r>
    </w:p>
    <w:p w14:paraId="3234E87E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b/>
          <w:color w:val="000000" w:themeColor="text1"/>
        </w:rPr>
      </w:pPr>
    </w:p>
    <w:p w14:paraId="32C80184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 w:themeColor="text1"/>
        </w:rPr>
      </w:pPr>
      <w:r w:rsidRPr="00EC04C8">
        <w:rPr>
          <w:rFonts w:ascii="TimesNewRomanPSMT" w:eastAsia="Calibri" w:hAnsi="TimesNewRomanPSMT" w:cs="TimesNewRomanPSMT"/>
          <w:b/>
          <w:color w:val="000000" w:themeColor="text1"/>
        </w:rPr>
        <w:t>(5)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Otlatma bedelleri, Mera Yönetim Birliklerince tahsil edilir. Mera Yönetim</w:t>
      </w:r>
    </w:p>
    <w:p w14:paraId="3DEEF354" w14:textId="31FC8286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 w:themeColor="text1"/>
        </w:rPr>
      </w:pPr>
      <w:r w:rsidRPr="00EC04C8">
        <w:rPr>
          <w:rFonts w:ascii="TimesNewRomanPSMT" w:eastAsia="Calibri" w:hAnsi="TimesNewRomanPSMT" w:cs="TimesNewRomanPSMT"/>
          <w:color w:val="000000" w:themeColor="text1"/>
        </w:rPr>
        <w:t>Birliklerinin kurulmadığı köylerde muhtarlık, belediyelerde ise belediye başkanlarınca görev verilen görevlilerce tahsil edilir.</w:t>
      </w:r>
    </w:p>
    <w:p w14:paraId="12F9B735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b/>
          <w:color w:val="000000" w:themeColor="text1"/>
        </w:rPr>
      </w:pPr>
    </w:p>
    <w:p w14:paraId="10F62FFE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 w:themeColor="text1"/>
        </w:rPr>
      </w:pPr>
      <w:r w:rsidRPr="00EC04C8">
        <w:rPr>
          <w:rFonts w:ascii="TimesNewRomanPSMT" w:eastAsia="Calibri" w:hAnsi="TimesNewRomanPSMT" w:cs="TimesNewRomanPSMT"/>
          <w:b/>
          <w:color w:val="000000" w:themeColor="text1"/>
        </w:rPr>
        <w:t>(6)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Otlatma bedelleri ve cezaların tahsilatı muhtarlık veya belediye başkanlığınca temin edilecek makbuzlarla yapılır. (Mera Yönetim Birlikleri makbuzları ile de tahsilat yapılabilir.)</w:t>
      </w:r>
    </w:p>
    <w:p w14:paraId="4F9BDE8B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b/>
          <w:color w:val="000000" w:themeColor="text1"/>
        </w:rPr>
      </w:pPr>
    </w:p>
    <w:p w14:paraId="29B547F9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 w:themeColor="text1"/>
        </w:rPr>
      </w:pPr>
      <w:r w:rsidRPr="00EC04C8">
        <w:rPr>
          <w:rFonts w:ascii="TimesNewRomanPSMT" w:eastAsia="Calibri" w:hAnsi="TimesNewRomanPSMT" w:cs="TimesNewRomanPSMT"/>
          <w:b/>
          <w:color w:val="000000" w:themeColor="text1"/>
        </w:rPr>
        <w:t>(7)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Tahsil edilen cezalar ve otlatma bedelleri köylerde köy sandığına, belediyelerde belediye bütçesinden ayrı olarak bir hesaba yatırılır ve İl müdürlüklerince hazırlanarak uygulanan mera ıslah ve amenajman projelerinde kullanılabilir.</w:t>
      </w:r>
    </w:p>
    <w:p w14:paraId="2A96EE41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b/>
          <w:color w:val="000000" w:themeColor="text1"/>
        </w:rPr>
      </w:pPr>
    </w:p>
    <w:p w14:paraId="7B3F026F" w14:textId="44D38BC6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 w:themeColor="text1"/>
        </w:rPr>
      </w:pPr>
      <w:r w:rsidRPr="00EC04C8">
        <w:rPr>
          <w:rFonts w:ascii="TimesNewRomanPSMT" w:eastAsia="Calibri" w:hAnsi="TimesNewRomanPSMT" w:cs="TimesNewRomanPSMT"/>
          <w:b/>
          <w:color w:val="000000" w:themeColor="text1"/>
        </w:rPr>
        <w:t>(8)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Yasaklanmış yerlerde hayvanlarını otlatmaya devam edenlerle, mera, yaylak ve kışlak arazisini sürmek sureti ile tahrip edenler ve izinsiz inşaat yapanlar hakkında, illerde Valilik, ilçelerde Kaymakamlıklar tarafından 3091 sayılı Taşınmaz Mal </w:t>
      </w:r>
      <w:r w:rsidR="001D70B0" w:rsidRPr="00EC04C8">
        <w:rPr>
          <w:rFonts w:ascii="TimesNewRomanPSMT" w:eastAsia="Calibri" w:hAnsi="TimesNewRomanPSMT" w:cs="TimesNewRomanPSMT"/>
          <w:color w:val="000000" w:themeColor="text1"/>
        </w:rPr>
        <w:t>Zilyetliğine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Yapılan Tecavüzlerin Önlenmesi Hakkında Kanun veya 2886 sayılı Devlet İhale Kanunu</w:t>
      </w:r>
      <w:r w:rsidR="001D70B0">
        <w:rPr>
          <w:rFonts w:ascii="TimesNewRomanPSMT" w:eastAsia="Calibri" w:hAnsi="TimesNewRomanPSMT" w:cs="TimesNewRomanPSMT"/>
          <w:color w:val="000000" w:themeColor="text1"/>
        </w:rPr>
        <w:t>’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nun 75 inci maddesi uyarınca işlem yapılır. Ayrıca </w:t>
      </w:r>
      <w:r w:rsidR="001D70B0" w:rsidRPr="00EC04C8">
        <w:rPr>
          <w:rFonts w:ascii="TimesNewRomanPSMT" w:eastAsia="Calibri" w:hAnsi="TimesNewRomanPSMT" w:cs="TimesNewRomanPSMT"/>
          <w:color w:val="000000" w:themeColor="text1"/>
        </w:rPr>
        <w:t>Kabahatler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Kanunu kapsamında suç duyurusunda bulunulur.</w:t>
      </w:r>
    </w:p>
    <w:p w14:paraId="3B4D5FD3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b/>
          <w:color w:val="000000" w:themeColor="text1"/>
        </w:rPr>
      </w:pPr>
    </w:p>
    <w:p w14:paraId="2261F31A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 w:themeColor="text1"/>
        </w:rPr>
      </w:pPr>
      <w:r w:rsidRPr="00EC04C8">
        <w:rPr>
          <w:rFonts w:ascii="TimesNewRomanPSMT" w:eastAsia="Calibri" w:hAnsi="TimesNewRomanPSMT" w:cs="TimesNewRomanPSMT"/>
          <w:b/>
          <w:color w:val="000000" w:themeColor="text1"/>
        </w:rPr>
        <w:t>(9)</w:t>
      </w:r>
      <w:r w:rsidRPr="00EC04C8">
        <w:rPr>
          <w:rFonts w:ascii="TimesNewRomanPSMT" w:eastAsia="Calibri" w:hAnsi="TimesNewRomanPSMT" w:cs="TimesNewRomanPSMT"/>
          <w:color w:val="000000" w:themeColor="text1"/>
        </w:rPr>
        <w:t xml:space="preserve"> Bu Genelgede belirtilen fiilleri işleyenleri zamanında duyurmayan Muhtar, Belediye Başkanı, Mera Yönetim Birliği Başkanı ve üyeleri gibi bu uygulamada görev ve sorumluluk verilen diğer kişiler hakkında, genel hükümlere göre işlem yapılır.</w:t>
      </w:r>
    </w:p>
    <w:p w14:paraId="22B7F0EF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/>
          <w:bCs/>
          <w:color w:val="000000" w:themeColor="text1"/>
        </w:rPr>
      </w:pPr>
    </w:p>
    <w:p w14:paraId="05A2B50E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</w:pPr>
    </w:p>
    <w:p w14:paraId="4E087E5A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</w:pPr>
    </w:p>
    <w:p w14:paraId="36E4193D" w14:textId="77777777" w:rsidR="00216953" w:rsidRPr="00EC04C8" w:rsidRDefault="00216953" w:rsidP="00216953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 w:themeColor="text1"/>
          <w:sz w:val="24"/>
          <w:szCs w:val="24"/>
        </w:rPr>
      </w:pPr>
    </w:p>
    <w:p w14:paraId="67A90B21" w14:textId="77777777" w:rsidR="00030178" w:rsidRDefault="00030178"/>
    <w:sectPr w:rsidR="0003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5F8"/>
    <w:multiLevelType w:val="hybridMultilevel"/>
    <w:tmpl w:val="3BA6CCDC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2F"/>
    <w:rsid w:val="00030178"/>
    <w:rsid w:val="001D70B0"/>
    <w:rsid w:val="00216953"/>
    <w:rsid w:val="00291315"/>
    <w:rsid w:val="003F11E1"/>
    <w:rsid w:val="0054620E"/>
    <w:rsid w:val="0096192F"/>
    <w:rsid w:val="00A4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095A"/>
  <w15:chartTrackingRefBased/>
  <w15:docId w15:val="{05EB7D03-1DA4-4585-878A-366A0EA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5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Kemal UZUN</dc:creator>
  <cp:keywords/>
  <dc:description/>
  <cp:lastModifiedBy>Bülent Yılmaz</cp:lastModifiedBy>
  <cp:revision>3</cp:revision>
  <dcterms:created xsi:type="dcterms:W3CDTF">2023-03-03T06:42:00Z</dcterms:created>
  <dcterms:modified xsi:type="dcterms:W3CDTF">2023-03-03T06:42:00Z</dcterms:modified>
</cp:coreProperties>
</file>